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55" w:rsidRPr="00EB1BA3" w:rsidRDefault="00AE08D2">
      <w:pPr>
        <w:spacing w:after="119"/>
        <w:ind w:left="0" w:right="95" w:firstLine="0"/>
        <w:jc w:val="center"/>
        <w:rPr>
          <w:rFonts w:ascii="宋体" w:eastAsia="宋体" w:hAnsi="宋体"/>
          <w:b/>
          <w:sz w:val="36"/>
          <w:szCs w:val="36"/>
        </w:rPr>
      </w:pPr>
      <w:r w:rsidRPr="00EB1BA3">
        <w:rPr>
          <w:rFonts w:ascii="宋体" w:eastAsia="宋体" w:hAnsi="宋体" w:cs="宋体"/>
          <w:b/>
          <w:sz w:val="36"/>
          <w:szCs w:val="36"/>
        </w:rPr>
        <w:t>河西学院</w:t>
      </w:r>
      <w:r w:rsidRPr="00EB1BA3">
        <w:rPr>
          <w:rFonts w:ascii="宋体" w:eastAsia="宋体" w:hAnsi="宋体" w:cs="宋体"/>
          <w:b/>
          <w:sz w:val="36"/>
          <w:szCs w:val="36"/>
        </w:rPr>
        <w:t>2020</w:t>
      </w:r>
      <w:r w:rsidRPr="00EB1BA3">
        <w:rPr>
          <w:rFonts w:ascii="宋体" w:eastAsia="宋体" w:hAnsi="宋体" w:cs="宋体"/>
          <w:b/>
          <w:sz w:val="36"/>
          <w:szCs w:val="36"/>
        </w:rPr>
        <w:t>年专升本招生</w:t>
      </w:r>
    </w:p>
    <w:p w:rsidR="000A1555" w:rsidRPr="00EB1BA3" w:rsidRDefault="00AE08D2" w:rsidP="00EB1BA3">
      <w:pPr>
        <w:spacing w:after="90"/>
        <w:jc w:val="center"/>
        <w:rPr>
          <w:rFonts w:ascii="宋体" w:eastAsia="宋体" w:hAnsi="宋体"/>
          <w:b/>
          <w:sz w:val="36"/>
          <w:szCs w:val="36"/>
        </w:rPr>
      </w:pPr>
      <w:r w:rsidRPr="00EB1BA3">
        <w:rPr>
          <w:rFonts w:ascii="宋体" w:eastAsia="宋体" w:hAnsi="宋体" w:cs="宋体"/>
          <w:b/>
          <w:sz w:val="36"/>
          <w:szCs w:val="36"/>
        </w:rPr>
        <w:t>机械设计制造及其自动化专业专业课考试大纲</w:t>
      </w:r>
    </w:p>
    <w:p w:rsidR="000A1555" w:rsidRPr="00EB1BA3" w:rsidRDefault="00AE08D2">
      <w:pPr>
        <w:spacing w:after="229"/>
        <w:ind w:left="1" w:firstLine="0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665978" w:rsidRDefault="00AE08D2" w:rsidP="00665978">
      <w:pPr>
        <w:ind w:left="-4"/>
        <w:jc w:val="center"/>
        <w:rPr>
          <w:rFonts w:ascii="仿宋" w:eastAsia="仿宋" w:hAnsi="仿宋"/>
          <w:b/>
          <w:szCs w:val="28"/>
        </w:rPr>
      </w:pPr>
      <w:bookmarkStart w:id="0" w:name="_GoBack"/>
      <w:r w:rsidRPr="00665978">
        <w:rPr>
          <w:rFonts w:ascii="仿宋" w:eastAsia="仿宋" w:hAnsi="仿宋"/>
          <w:b/>
          <w:szCs w:val="28"/>
        </w:rPr>
        <w:t>第一部分</w:t>
      </w:r>
      <w:r w:rsidRPr="00665978">
        <w:rPr>
          <w:rFonts w:ascii="仿宋" w:eastAsia="仿宋" w:hAnsi="仿宋"/>
          <w:b/>
          <w:szCs w:val="28"/>
        </w:rPr>
        <w:t xml:space="preserve">  </w:t>
      </w:r>
      <w:r w:rsidRPr="00665978">
        <w:rPr>
          <w:rFonts w:ascii="仿宋" w:eastAsia="仿宋" w:hAnsi="仿宋"/>
          <w:b/>
          <w:szCs w:val="28"/>
        </w:rPr>
        <w:t>机械设计基础（</w:t>
      </w:r>
      <w:r w:rsidRPr="00665978">
        <w:rPr>
          <w:rFonts w:ascii="仿宋" w:eastAsia="仿宋" w:hAnsi="仿宋"/>
          <w:b/>
          <w:szCs w:val="28"/>
        </w:rPr>
        <w:t>50%</w:t>
      </w:r>
      <w:r w:rsidRPr="00665978">
        <w:rPr>
          <w:rFonts w:ascii="仿宋" w:eastAsia="仿宋" w:hAnsi="仿宋"/>
          <w:b/>
          <w:szCs w:val="28"/>
        </w:rPr>
        <w:t>）</w:t>
      </w:r>
    </w:p>
    <w:bookmarkEnd w:id="0"/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平面机构的自由度及速度分析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能绘制简单平面机构的运动简图。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掌握平面机构自由度计算。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掌握机构具有确定运动的条件。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平面连杆机构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熟练分析平面四杆机构的极位夹角、急回特性、压力角与传动角。</w:t>
      </w:r>
      <w:r w:rsidRPr="00EB1BA3">
        <w:rPr>
          <w:rFonts w:ascii="仿宋" w:eastAsia="仿宋" w:hAnsi="仿宋"/>
          <w:szCs w:val="28"/>
        </w:rPr>
        <w:t xml:space="preserve">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掌握铰链四杆机构存在曲柄的条件。</w:t>
      </w:r>
      <w:r w:rsidRPr="00EB1BA3">
        <w:rPr>
          <w:rFonts w:ascii="仿宋" w:eastAsia="仿宋" w:hAnsi="仿宋"/>
          <w:szCs w:val="28"/>
        </w:rPr>
        <w:t xml:space="preserve">   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齿轮机构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了解渐开线齿轮传动的啮合特点。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掌握直齿圆柱齿轮的主要参数及主要尺寸的计算。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掌握直齿圆柱齿轮正确啮合条件和连续传动条件。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4.</w:t>
      </w:r>
      <w:r w:rsidRPr="00EB1BA3">
        <w:rPr>
          <w:rFonts w:ascii="仿宋" w:eastAsia="仿宋" w:hAnsi="仿宋"/>
          <w:szCs w:val="28"/>
        </w:rPr>
        <w:t>了解斜齿圆柱齿轮的优缺点。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轮系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了解轮系的功用及分类。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理解行星轮系的判定。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掌握定轴轮系传动比的计算。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4.</w:t>
      </w:r>
      <w:r w:rsidRPr="00EB1BA3">
        <w:rPr>
          <w:rFonts w:ascii="仿宋" w:eastAsia="仿宋" w:hAnsi="仿宋"/>
          <w:szCs w:val="28"/>
        </w:rPr>
        <w:t>掌握周转轮系传动比的计算。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齿轮传动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lastRenderedPageBreak/>
        <w:t>1.</w:t>
      </w:r>
      <w:r w:rsidRPr="00EB1BA3">
        <w:rPr>
          <w:rFonts w:ascii="仿宋" w:eastAsia="仿宋" w:hAnsi="仿宋"/>
          <w:szCs w:val="28"/>
        </w:rPr>
        <w:t>掌握轮齿的主要失效形式及发生在轮齿的部位。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掌握直、斜齿圆柱齿轮的受力分析</w:t>
      </w:r>
      <w:r w:rsidRPr="00EB1BA3">
        <w:rPr>
          <w:rFonts w:ascii="仿宋" w:eastAsia="仿宋" w:hAnsi="仿宋"/>
          <w:szCs w:val="28"/>
        </w:rPr>
        <w:t xml:space="preserve"> ( </w:t>
      </w:r>
      <w:r w:rsidRPr="00EB1BA3">
        <w:rPr>
          <w:rFonts w:ascii="仿宋" w:eastAsia="仿宋" w:hAnsi="仿宋"/>
          <w:szCs w:val="28"/>
        </w:rPr>
        <w:t>各分力方向及计算</w:t>
      </w:r>
      <w:r w:rsidRPr="00EB1BA3">
        <w:rPr>
          <w:rFonts w:ascii="仿宋" w:eastAsia="仿宋" w:hAnsi="仿宋"/>
          <w:szCs w:val="28"/>
        </w:rPr>
        <w:t xml:space="preserve"> ) </w:t>
      </w:r>
      <w:r w:rsidRPr="00EB1BA3">
        <w:rPr>
          <w:rFonts w:ascii="仿宋" w:eastAsia="仿宋" w:hAnsi="仿宋"/>
          <w:szCs w:val="28"/>
        </w:rPr>
        <w:t>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联接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掌握螺纹联接的防松原理及主要防松方法。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掌握普通平键联接的失效形式与强度计算。</w:t>
      </w:r>
      <w:r w:rsidRPr="00EB1BA3">
        <w:rPr>
          <w:rFonts w:ascii="仿宋" w:eastAsia="仿宋" w:hAnsi="仿宋"/>
          <w:szCs w:val="28"/>
        </w:rPr>
        <w:t xml:space="preserve">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带传动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掌握带传动的工作原理、特点和应用。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掌握带传动的弹性滑动和打滑产生的原因、后果以及可采取的措施。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滚动轴承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149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了解滚动轴承的主要类型、代号及类型选择。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149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掌握滚动轴承的寿命计算。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149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了解滚动轴承的组合设计。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numPr>
          <w:ilvl w:val="0"/>
          <w:numId w:val="1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轴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能根据工作要求正确地选择轴的材料。</w:t>
      </w:r>
      <w:r w:rsidRPr="00EB1BA3">
        <w:rPr>
          <w:rFonts w:ascii="仿宋" w:eastAsia="仿宋" w:hAnsi="仿宋"/>
          <w:szCs w:val="28"/>
        </w:rPr>
        <w:t xml:space="preserve">    </w:t>
      </w:r>
    </w:p>
    <w:p w:rsidR="000A1555" w:rsidRPr="00EB1BA3" w:rsidRDefault="00AE08D2" w:rsidP="00665978">
      <w:pPr>
        <w:spacing w:after="0" w:line="410" w:lineRule="auto"/>
        <w:ind w:left="-4"/>
        <w:rPr>
          <w:rFonts w:ascii="仿宋" w:eastAsia="仿宋" w:hAnsi="仿宋" w:hint="eastAsia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掌握轴的结构设计</w:t>
      </w:r>
      <w:r w:rsidRPr="00EB1BA3">
        <w:rPr>
          <w:rFonts w:ascii="仿宋" w:eastAsia="仿宋" w:hAnsi="仿宋"/>
          <w:szCs w:val="28"/>
        </w:rPr>
        <w:t>(</w:t>
      </w:r>
      <w:r w:rsidRPr="00EB1BA3">
        <w:rPr>
          <w:rFonts w:ascii="仿宋" w:eastAsia="仿宋" w:hAnsi="仿宋"/>
          <w:szCs w:val="28"/>
        </w:rPr>
        <w:t>不但能够正确地设计轴的结构形状，而且还能够指出轴结构设计的错误和不合理地方</w:t>
      </w:r>
      <w:r w:rsidRPr="00EB1BA3">
        <w:rPr>
          <w:rFonts w:ascii="仿宋" w:eastAsia="仿宋" w:hAnsi="仿宋"/>
          <w:szCs w:val="28"/>
        </w:rPr>
        <w:t xml:space="preserve"> )</w:t>
      </w:r>
      <w:r w:rsidRPr="00EB1BA3">
        <w:rPr>
          <w:rFonts w:ascii="仿宋" w:eastAsia="仿宋" w:hAnsi="仿宋"/>
          <w:szCs w:val="28"/>
        </w:rPr>
        <w:t>。</w:t>
      </w:r>
      <w:r w:rsidRPr="00EB1BA3">
        <w:rPr>
          <w:rFonts w:ascii="仿宋" w:eastAsia="仿宋" w:hAnsi="仿宋"/>
          <w:szCs w:val="28"/>
        </w:rPr>
        <w:t xml:space="preserve">   </w:t>
      </w:r>
    </w:p>
    <w:p w:rsidR="00665978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参考教材：《机械设计基础》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>机械</w:t>
      </w:r>
      <w:r w:rsidRPr="00EB1BA3">
        <w:rPr>
          <w:rFonts w:ascii="仿宋" w:eastAsia="仿宋" w:hAnsi="仿宋"/>
          <w:szCs w:val="28"/>
        </w:rPr>
        <w:t>工业出版社</w:t>
      </w:r>
      <w:r w:rsidRPr="00EB1BA3">
        <w:rPr>
          <w:rFonts w:ascii="仿宋" w:eastAsia="仿宋" w:hAnsi="仿宋"/>
          <w:szCs w:val="28"/>
        </w:rPr>
        <w:t xml:space="preserve">  </w:t>
      </w:r>
      <w:r w:rsidRPr="00EB1BA3">
        <w:rPr>
          <w:rFonts w:ascii="仿宋" w:eastAsia="仿宋" w:hAnsi="仿宋"/>
          <w:szCs w:val="28"/>
        </w:rPr>
        <w:t>张久成主编。</w:t>
      </w:r>
    </w:p>
    <w:p w:rsidR="00665978" w:rsidRPr="00665978" w:rsidRDefault="00AE08D2" w:rsidP="00665978">
      <w:pPr>
        <w:spacing w:after="0" w:line="410" w:lineRule="auto"/>
        <w:ind w:left="-4"/>
        <w:jc w:val="center"/>
        <w:rPr>
          <w:rFonts w:ascii="仿宋" w:eastAsia="仿宋" w:hAnsi="仿宋"/>
          <w:b/>
          <w:szCs w:val="28"/>
        </w:rPr>
      </w:pPr>
      <w:r w:rsidRPr="00665978">
        <w:rPr>
          <w:rFonts w:ascii="仿宋" w:eastAsia="仿宋" w:hAnsi="仿宋"/>
          <w:b/>
          <w:szCs w:val="28"/>
        </w:rPr>
        <w:t>第二部分</w:t>
      </w:r>
      <w:r w:rsidRPr="00665978">
        <w:rPr>
          <w:rFonts w:ascii="仿宋" w:eastAsia="仿宋" w:hAnsi="仿宋"/>
          <w:b/>
          <w:szCs w:val="28"/>
        </w:rPr>
        <w:t xml:space="preserve">  </w:t>
      </w:r>
      <w:r w:rsidRPr="00665978">
        <w:rPr>
          <w:rFonts w:ascii="仿宋" w:eastAsia="仿宋" w:hAnsi="仿宋"/>
          <w:b/>
          <w:szCs w:val="28"/>
        </w:rPr>
        <w:t>电路部分（</w:t>
      </w:r>
      <w:r w:rsidRPr="00665978">
        <w:rPr>
          <w:rFonts w:ascii="仿宋" w:eastAsia="仿宋" w:hAnsi="仿宋"/>
          <w:b/>
          <w:szCs w:val="28"/>
        </w:rPr>
        <w:t>50%</w:t>
      </w:r>
      <w:r w:rsidRPr="00665978">
        <w:rPr>
          <w:rFonts w:ascii="仿宋" w:eastAsia="仿宋" w:hAnsi="仿宋"/>
          <w:b/>
          <w:szCs w:val="28"/>
        </w:rPr>
        <w:t>）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一、电路模型和电路定律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掌握电流、电压参考方向。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掌握电阻、独立源和受控源电路元件的电流、电压关系。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lastRenderedPageBreak/>
        <w:t>3.</w:t>
      </w:r>
      <w:r w:rsidRPr="00EB1BA3">
        <w:rPr>
          <w:rFonts w:ascii="仿宋" w:eastAsia="仿宋" w:hAnsi="仿宋"/>
          <w:szCs w:val="28"/>
        </w:rPr>
        <w:t>熟练掌握基尔霍夫定律并能求电压、电流和功率。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电阻电路的等效变换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5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理解等效变换的条件。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熟练掌握计算等效电阻和输入电阻。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理解电路</w:t>
      </w:r>
      <w:r w:rsidRPr="00EB1BA3">
        <w:rPr>
          <w:rFonts w:ascii="仿宋" w:eastAsia="仿宋" w:hAnsi="仿宋"/>
          <w:szCs w:val="28"/>
        </w:rPr>
        <w:t>Y-</w:t>
      </w:r>
      <w:r w:rsidRPr="00EB1BA3">
        <w:rPr>
          <w:rFonts w:ascii="仿宋" w:eastAsia="仿宋" w:hAnsi="仿宋"/>
          <w:szCs w:val="28"/>
        </w:rPr>
        <w:t>Δ</w:t>
      </w:r>
      <w:r w:rsidRPr="00EB1BA3">
        <w:rPr>
          <w:rFonts w:ascii="仿宋" w:eastAsia="仿宋" w:hAnsi="仿宋"/>
          <w:szCs w:val="28"/>
        </w:rPr>
        <w:t>等效互换和电源的等效互换。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电阻电路的一般分析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5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</w:t>
      </w:r>
      <w:r w:rsidRPr="00EB1BA3">
        <w:rPr>
          <w:rFonts w:ascii="仿宋" w:eastAsia="仿宋" w:hAnsi="仿宋"/>
          <w:szCs w:val="28"/>
        </w:rPr>
        <w:t>KCL</w:t>
      </w:r>
      <w:r w:rsidRPr="00EB1BA3">
        <w:rPr>
          <w:rFonts w:ascii="仿宋" w:eastAsia="仿宋" w:hAnsi="仿宋"/>
          <w:szCs w:val="28"/>
        </w:rPr>
        <w:t>，</w:t>
      </w:r>
      <w:r w:rsidRPr="00EB1BA3">
        <w:rPr>
          <w:rFonts w:ascii="仿宋" w:eastAsia="仿宋" w:hAnsi="仿宋"/>
          <w:szCs w:val="28"/>
        </w:rPr>
        <w:t>KVL</w:t>
      </w:r>
      <w:r w:rsidRPr="00EB1BA3">
        <w:rPr>
          <w:rFonts w:ascii="仿宋" w:eastAsia="仿宋" w:hAnsi="仿宋"/>
          <w:szCs w:val="28"/>
        </w:rPr>
        <w:t>独立方程数。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掌握支路电流法、网孔电流法、回路电流法和结点电压法，对简单电路能熟练计算。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电路定理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34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熟练掌握叠加定理、戴维宁定理、诺顿定理，运用定理对较简单电路能够熟练计算。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理解最大功率传输定理。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含有运算放大器的电阻电路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了解运算放大器的电路模型。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理解运算放大器在理想化条件下的外部特性。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掌握含有理想运算放大器的电路分析方法。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储能元件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掌握电感、电容元件的基本特性。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掌握电感、电容元件的串、并联计算。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一阶电路和二阶电路的时域分析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lastRenderedPageBreak/>
        <w:t>1.</w:t>
      </w:r>
      <w:r w:rsidRPr="00EB1BA3">
        <w:rPr>
          <w:rFonts w:ascii="仿宋" w:eastAsia="仿宋" w:hAnsi="仿宋"/>
          <w:szCs w:val="28"/>
        </w:rPr>
        <w:t>理解电路的动态过程，掌握一阶电路初始状态和稳定状态的确定。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5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掌握时间常数、零状态响应、零输入响应</w:t>
      </w:r>
      <w:r w:rsidRPr="00EB1BA3">
        <w:rPr>
          <w:rFonts w:ascii="仿宋" w:eastAsia="仿宋" w:hAnsi="仿宋"/>
          <w:szCs w:val="28"/>
        </w:rPr>
        <w:t>、全响应概念。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熟练掌握运用三要素法分析一阶电路的暂态过程。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相量法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4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理解相量的概念。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掌握正弦量三要素，同频率正弦量的相位差，有效值概念。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掌握相量的简单运算。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4.</w:t>
      </w:r>
      <w:r w:rsidRPr="00EB1BA3">
        <w:rPr>
          <w:rFonts w:ascii="仿宋" w:eastAsia="仿宋" w:hAnsi="仿宋"/>
          <w:szCs w:val="28"/>
        </w:rPr>
        <w:t>熟练掌握电阻、电感、电容元件电压、电流的相量形式，基尔霍夫定律相量形式。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正弦稳态电路的分析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5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掌握阻抗、导纳及其相互变换，相量图的作法。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熟练掌握正弦稳态电路的分析，对简单正弦稳态电路能够熟练地分析与计算。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0" w:line="410" w:lineRule="auto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理解正弦稳态电路中各种功率的概念、意义和相互关系，能简单计算功率。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numPr>
          <w:ilvl w:val="0"/>
          <w:numId w:val="2"/>
        </w:numPr>
        <w:ind w:hanging="562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具有耦合电感的电路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掌握互感、同名端等概念。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理解空心变压器、理想变压器的电路方程，电路模型及其特性。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掌握耦合电感电压与电流的关系，对互感耦合的电路能简单计算。十一、电路的频率响应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了解网络函数的基本概念。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理解</w:t>
      </w:r>
      <w:r w:rsidRPr="00EB1BA3">
        <w:rPr>
          <w:rFonts w:ascii="仿宋" w:eastAsia="仿宋" w:hAnsi="仿宋"/>
          <w:szCs w:val="28"/>
        </w:rPr>
        <w:t>RLC</w:t>
      </w:r>
      <w:r w:rsidRPr="00EB1BA3">
        <w:rPr>
          <w:rFonts w:ascii="仿宋" w:eastAsia="仿宋" w:hAnsi="仿宋"/>
          <w:szCs w:val="28"/>
        </w:rPr>
        <w:t>电路的串并联谐振特性。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lastRenderedPageBreak/>
        <w:t>十二、三相电路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265"/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1.</w:t>
      </w:r>
      <w:r w:rsidRPr="00EB1BA3">
        <w:rPr>
          <w:rFonts w:ascii="仿宋" w:eastAsia="仿宋" w:hAnsi="仿宋"/>
          <w:szCs w:val="28"/>
        </w:rPr>
        <w:t>了解对称三相电路的概念。</w:t>
      </w:r>
      <w:r w:rsidRPr="00EB1BA3">
        <w:rPr>
          <w:rFonts w:ascii="仿宋" w:eastAsia="仿宋" w:hAnsi="仿宋"/>
          <w:szCs w:val="28"/>
        </w:rPr>
        <w:t xml:space="preserve"> </w:t>
      </w:r>
      <w:r w:rsidRPr="00EB1BA3">
        <w:rPr>
          <w:rFonts w:ascii="仿宋" w:eastAsia="仿宋" w:hAnsi="仿宋" w:cs="Calibri"/>
          <w:szCs w:val="28"/>
        </w:rPr>
        <w:t xml:space="preserve"> 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2.</w:t>
      </w:r>
      <w:r w:rsidRPr="00EB1BA3">
        <w:rPr>
          <w:rFonts w:ascii="仿宋" w:eastAsia="仿宋" w:hAnsi="仿宋"/>
          <w:szCs w:val="28"/>
        </w:rPr>
        <w:t>掌握对称三相电路相电压和线电压、相电流和线电流之间的关系。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 w:rsidP="00665978">
      <w:pPr>
        <w:ind w:left="-4"/>
        <w:rPr>
          <w:rFonts w:ascii="仿宋" w:eastAsia="仿宋" w:hAnsi="仿宋" w:hint="eastAsia"/>
          <w:szCs w:val="28"/>
        </w:rPr>
      </w:pPr>
      <w:r w:rsidRPr="00EB1BA3">
        <w:rPr>
          <w:rFonts w:ascii="仿宋" w:eastAsia="仿宋" w:hAnsi="仿宋"/>
          <w:szCs w:val="28"/>
        </w:rPr>
        <w:t>3.</w:t>
      </w:r>
      <w:r w:rsidRPr="00EB1BA3">
        <w:rPr>
          <w:rFonts w:ascii="仿宋" w:eastAsia="仿宋" w:hAnsi="仿宋"/>
          <w:szCs w:val="28"/>
        </w:rPr>
        <w:t>掌握对称三相电路的计算方法。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参考教材</w:t>
      </w:r>
      <w:r w:rsidRPr="00EB1BA3">
        <w:rPr>
          <w:rFonts w:ascii="仿宋" w:eastAsia="仿宋" w:hAnsi="仿宋"/>
          <w:szCs w:val="28"/>
        </w:rPr>
        <w:t xml:space="preserve">: </w:t>
      </w:r>
    </w:p>
    <w:p w:rsidR="000A1555" w:rsidRPr="00EB1BA3" w:rsidRDefault="00AE08D2">
      <w:pPr>
        <w:ind w:left="-4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>邱关源</w:t>
      </w:r>
      <w:r w:rsidRPr="00EB1BA3">
        <w:rPr>
          <w:rFonts w:ascii="仿宋" w:eastAsia="仿宋" w:hAnsi="仿宋"/>
          <w:szCs w:val="28"/>
        </w:rPr>
        <w:t>.</w:t>
      </w:r>
      <w:r w:rsidRPr="00EB1BA3">
        <w:rPr>
          <w:rFonts w:ascii="仿宋" w:eastAsia="仿宋" w:hAnsi="仿宋"/>
          <w:szCs w:val="28"/>
        </w:rPr>
        <w:t>《电路》（第</w:t>
      </w:r>
      <w:r w:rsidRPr="00EB1BA3">
        <w:rPr>
          <w:rFonts w:ascii="仿宋" w:eastAsia="仿宋" w:hAnsi="仿宋"/>
          <w:szCs w:val="28"/>
        </w:rPr>
        <w:t>5</w:t>
      </w:r>
      <w:r w:rsidRPr="00EB1BA3">
        <w:rPr>
          <w:rFonts w:ascii="仿宋" w:eastAsia="仿宋" w:hAnsi="仿宋"/>
          <w:szCs w:val="28"/>
        </w:rPr>
        <w:t>版）北京：高等教育出版社，</w:t>
      </w:r>
      <w:r w:rsidRPr="00EB1BA3">
        <w:rPr>
          <w:rFonts w:ascii="仿宋" w:eastAsia="仿宋" w:hAnsi="仿宋"/>
          <w:szCs w:val="28"/>
        </w:rPr>
        <w:t>2006</w:t>
      </w:r>
      <w:r w:rsidRPr="00EB1BA3">
        <w:rPr>
          <w:rFonts w:ascii="仿宋" w:eastAsia="仿宋" w:hAnsi="仿宋"/>
          <w:szCs w:val="28"/>
        </w:rPr>
        <w:t>年</w:t>
      </w:r>
      <w:r w:rsidRPr="00EB1BA3">
        <w:rPr>
          <w:rFonts w:ascii="仿宋" w:eastAsia="仿宋" w:hAnsi="仿宋"/>
          <w:szCs w:val="28"/>
        </w:rPr>
        <w:t xml:space="preserve"> </w:t>
      </w:r>
    </w:p>
    <w:p w:rsidR="000A1555" w:rsidRPr="00EB1BA3" w:rsidRDefault="00AE08D2">
      <w:pPr>
        <w:spacing w:after="0"/>
        <w:ind w:left="1" w:firstLine="0"/>
        <w:rPr>
          <w:rFonts w:ascii="仿宋" w:eastAsia="仿宋" w:hAnsi="仿宋"/>
          <w:szCs w:val="28"/>
        </w:rPr>
      </w:pPr>
      <w:r w:rsidRPr="00EB1BA3">
        <w:rPr>
          <w:rFonts w:ascii="仿宋" w:eastAsia="仿宋" w:hAnsi="仿宋"/>
          <w:szCs w:val="28"/>
        </w:rPr>
        <w:t xml:space="preserve">                                             </w:t>
      </w:r>
    </w:p>
    <w:sectPr w:rsidR="000A1555" w:rsidRPr="00EB1BA3">
      <w:pgSz w:w="11906" w:h="16838"/>
      <w:pgMar w:top="1572" w:right="1706" w:bottom="1842" w:left="1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D2" w:rsidRDefault="00AE08D2" w:rsidP="00AA3E64">
      <w:pPr>
        <w:spacing w:after="0" w:line="240" w:lineRule="auto"/>
      </w:pPr>
      <w:r>
        <w:separator/>
      </w:r>
    </w:p>
  </w:endnote>
  <w:endnote w:type="continuationSeparator" w:id="0">
    <w:p w:rsidR="00AE08D2" w:rsidRDefault="00AE08D2" w:rsidP="00AA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D2" w:rsidRDefault="00AE08D2" w:rsidP="00AA3E64">
      <w:pPr>
        <w:spacing w:after="0" w:line="240" w:lineRule="auto"/>
      </w:pPr>
      <w:r>
        <w:separator/>
      </w:r>
    </w:p>
  </w:footnote>
  <w:footnote w:type="continuationSeparator" w:id="0">
    <w:p w:rsidR="00AE08D2" w:rsidRDefault="00AE08D2" w:rsidP="00AA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34B"/>
    <w:multiLevelType w:val="hybridMultilevel"/>
    <w:tmpl w:val="1BF4B9E6"/>
    <w:lvl w:ilvl="0" w:tplc="4A806306">
      <w:start w:val="2"/>
      <w:numFmt w:val="japaneseCounting"/>
      <w:lvlText w:val="%1、"/>
      <w:lvlJc w:val="left"/>
      <w:pPr>
        <w:ind w:left="562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217E">
      <w:start w:val="1"/>
      <w:numFmt w:val="lowerLetter"/>
      <w:lvlText w:val="%2"/>
      <w:lvlJc w:val="left"/>
      <w:pPr>
        <w:ind w:left="10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4A308">
      <w:start w:val="1"/>
      <w:numFmt w:val="lowerRoman"/>
      <w:lvlText w:val="%3"/>
      <w:lvlJc w:val="left"/>
      <w:pPr>
        <w:ind w:left="18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AF4F6">
      <w:start w:val="1"/>
      <w:numFmt w:val="decimal"/>
      <w:lvlText w:val="%4"/>
      <w:lvlJc w:val="left"/>
      <w:pPr>
        <w:ind w:left="25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8D00A">
      <w:start w:val="1"/>
      <w:numFmt w:val="lowerLetter"/>
      <w:lvlText w:val="%5"/>
      <w:lvlJc w:val="left"/>
      <w:pPr>
        <w:ind w:left="32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2C69C">
      <w:start w:val="1"/>
      <w:numFmt w:val="lowerRoman"/>
      <w:lvlText w:val="%6"/>
      <w:lvlJc w:val="left"/>
      <w:pPr>
        <w:ind w:left="39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A597A">
      <w:start w:val="1"/>
      <w:numFmt w:val="decimal"/>
      <w:lvlText w:val="%7"/>
      <w:lvlJc w:val="left"/>
      <w:pPr>
        <w:ind w:left="46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81700">
      <w:start w:val="1"/>
      <w:numFmt w:val="lowerLetter"/>
      <w:lvlText w:val="%8"/>
      <w:lvlJc w:val="left"/>
      <w:pPr>
        <w:ind w:left="54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E0446">
      <w:start w:val="1"/>
      <w:numFmt w:val="lowerRoman"/>
      <w:lvlText w:val="%9"/>
      <w:lvlJc w:val="left"/>
      <w:pPr>
        <w:ind w:left="61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00F73"/>
    <w:multiLevelType w:val="hybridMultilevel"/>
    <w:tmpl w:val="BC7EA1C6"/>
    <w:lvl w:ilvl="0" w:tplc="A75CFB0E">
      <w:start w:val="1"/>
      <w:numFmt w:val="ideographDigital"/>
      <w:lvlText w:val="%1、"/>
      <w:lvlJc w:val="left"/>
      <w:pPr>
        <w:ind w:left="562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E4C72">
      <w:start w:val="1"/>
      <w:numFmt w:val="lowerLetter"/>
      <w:lvlText w:val="%2"/>
      <w:lvlJc w:val="left"/>
      <w:pPr>
        <w:ind w:left="10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5EEA">
      <w:start w:val="1"/>
      <w:numFmt w:val="lowerRoman"/>
      <w:lvlText w:val="%3"/>
      <w:lvlJc w:val="left"/>
      <w:pPr>
        <w:ind w:left="18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85E9C">
      <w:start w:val="1"/>
      <w:numFmt w:val="decimal"/>
      <w:lvlText w:val="%4"/>
      <w:lvlJc w:val="left"/>
      <w:pPr>
        <w:ind w:left="25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EAB1A">
      <w:start w:val="1"/>
      <w:numFmt w:val="lowerLetter"/>
      <w:lvlText w:val="%5"/>
      <w:lvlJc w:val="left"/>
      <w:pPr>
        <w:ind w:left="32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41828">
      <w:start w:val="1"/>
      <w:numFmt w:val="lowerRoman"/>
      <w:lvlText w:val="%6"/>
      <w:lvlJc w:val="left"/>
      <w:pPr>
        <w:ind w:left="39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42D76">
      <w:start w:val="1"/>
      <w:numFmt w:val="decimal"/>
      <w:lvlText w:val="%7"/>
      <w:lvlJc w:val="left"/>
      <w:pPr>
        <w:ind w:left="46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C5D40">
      <w:start w:val="1"/>
      <w:numFmt w:val="lowerLetter"/>
      <w:lvlText w:val="%8"/>
      <w:lvlJc w:val="left"/>
      <w:pPr>
        <w:ind w:left="54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EE71A">
      <w:start w:val="1"/>
      <w:numFmt w:val="lowerRoman"/>
      <w:lvlText w:val="%9"/>
      <w:lvlJc w:val="left"/>
      <w:pPr>
        <w:ind w:left="61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5"/>
    <w:rsid w:val="000A1555"/>
    <w:rsid w:val="00665978"/>
    <w:rsid w:val="00AA3E64"/>
    <w:rsid w:val="00AE08D2"/>
    <w:rsid w:val="00E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A9A0"/>
  <w15:docId w15:val="{36590567-9301-4723-BA16-F39CBF9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7" w:line="259" w:lineRule="auto"/>
      <w:ind w:left="11" w:hanging="10"/>
    </w:pPr>
    <w:rPr>
      <w:rFonts w:ascii="FangSong" w:eastAsia="FangSong" w:hAnsi="FangSong" w:cs="FangSong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E64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E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E64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河西学院机电工程系电气工程及其自动化</dc:title>
  <dc:subject/>
  <dc:creator>微软中国</dc:creator>
  <cp:keywords/>
  <cp:lastModifiedBy>Administrator</cp:lastModifiedBy>
  <cp:revision>5</cp:revision>
  <dcterms:created xsi:type="dcterms:W3CDTF">2020-03-04T02:24:00Z</dcterms:created>
  <dcterms:modified xsi:type="dcterms:W3CDTF">2020-03-04T02:26:00Z</dcterms:modified>
</cp:coreProperties>
</file>